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4A7CE" w14:textId="77777777" w:rsidR="00DE6810" w:rsidRDefault="00DE6810" w:rsidP="00DE6810">
      <w:pPr>
        <w:pStyle w:val="NormalWeb"/>
        <w:jc w:val="center"/>
      </w:pPr>
      <w:r>
        <w:rPr>
          <w:rFonts w:ascii="VistaSlabOT" w:hAnsi="VistaSlabOT"/>
          <w:sz w:val="20"/>
          <w:szCs w:val="20"/>
        </w:rPr>
        <w:t>SECTION 064025</w:t>
      </w:r>
      <w:r>
        <w:rPr>
          <w:rFonts w:ascii="VistaSlabOT" w:hAnsi="VistaSlabOT"/>
          <w:sz w:val="20"/>
          <w:szCs w:val="20"/>
        </w:rPr>
        <w:br/>
        <w:t>HIGH PRESSURE LAMINATES</w:t>
      </w:r>
    </w:p>
    <w:p w14:paraId="5E366027" w14:textId="77777777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 xml:space="preserve">PART 1 - GENERAL </w:t>
      </w:r>
    </w:p>
    <w:p w14:paraId="67139B99" w14:textId="77777777" w:rsidR="00DE6810" w:rsidRDefault="00DE6810" w:rsidP="00DE6810">
      <w:pPr>
        <w:pStyle w:val="NormalWeb"/>
        <w:numPr>
          <w:ilvl w:val="0"/>
          <w:numId w:val="1"/>
        </w:numPr>
      </w:pPr>
      <w:proofErr w:type="gramStart"/>
      <w:r>
        <w:rPr>
          <w:rFonts w:ascii="VistaSlabOT" w:hAnsi="VistaSlabOT"/>
          <w:sz w:val="20"/>
          <w:szCs w:val="20"/>
        </w:rPr>
        <w:t>1.1  SUMMARY</w:t>
      </w:r>
      <w:proofErr w:type="gramEnd"/>
      <w:r>
        <w:rPr>
          <w:rFonts w:ascii="VistaSlabOT" w:hAnsi="VistaSlabOT"/>
          <w:sz w:val="20"/>
          <w:szCs w:val="20"/>
        </w:rPr>
        <w:t xml:space="preserve"> </w:t>
      </w:r>
    </w:p>
    <w:p w14:paraId="764517D7" w14:textId="77777777" w:rsidR="00DE6810" w:rsidRDefault="00DE6810" w:rsidP="00DE6810">
      <w:pPr>
        <w:pStyle w:val="NormalWeb"/>
        <w:numPr>
          <w:ilvl w:val="1"/>
          <w:numId w:val="1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Provide high pressure laminates (HPL) for interior horizontal and vertical surfaces. </w:t>
      </w:r>
    </w:p>
    <w:p w14:paraId="53B09C73" w14:textId="77777777" w:rsidR="00DE6810" w:rsidRDefault="00DE6810" w:rsidP="00DE6810">
      <w:pPr>
        <w:pStyle w:val="NormalWeb"/>
        <w:numPr>
          <w:ilvl w:val="1"/>
          <w:numId w:val="1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Related Sections: Coordinate with Work of other sections including the following: </w:t>
      </w:r>
    </w:p>
    <w:p w14:paraId="396EBFAB" w14:textId="77777777" w:rsidR="00DE6810" w:rsidRDefault="00DE6810" w:rsidP="00DE6810">
      <w:pPr>
        <w:pStyle w:val="NormalWeb"/>
        <w:numPr>
          <w:ilvl w:val="2"/>
          <w:numId w:val="1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Section 062023 – Interior Finish Carpentry. </w:t>
      </w:r>
    </w:p>
    <w:p w14:paraId="68BBDF6E" w14:textId="77777777" w:rsidR="00DE6810" w:rsidRDefault="00DE6810" w:rsidP="00DE6810">
      <w:pPr>
        <w:pStyle w:val="NormalWeb"/>
        <w:numPr>
          <w:ilvl w:val="2"/>
          <w:numId w:val="1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Section 064116 – Plastic-Laminate-Faced Architectural Cabinets. </w:t>
      </w:r>
    </w:p>
    <w:p w14:paraId="0A7776C6" w14:textId="77777777" w:rsidR="00DE6810" w:rsidRDefault="00DE6810" w:rsidP="00DE6810">
      <w:pPr>
        <w:pStyle w:val="NormalWeb"/>
        <w:numPr>
          <w:ilvl w:val="2"/>
          <w:numId w:val="1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Section 064219 – Plastic-Laminate-Faced Wood Paneling. </w:t>
      </w:r>
    </w:p>
    <w:p w14:paraId="24144E6B" w14:textId="77777777" w:rsidR="00DE6810" w:rsidRDefault="00DE6810" w:rsidP="00DE6810">
      <w:pPr>
        <w:pStyle w:val="NormalWeb"/>
        <w:numPr>
          <w:ilvl w:val="2"/>
          <w:numId w:val="1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Section 066400 – Plastic Paneling. </w:t>
      </w:r>
    </w:p>
    <w:p w14:paraId="3A111319" w14:textId="77777777" w:rsidR="00DE6810" w:rsidRPr="00DE6810" w:rsidRDefault="00DE6810" w:rsidP="00DE6810">
      <w:pPr>
        <w:pStyle w:val="NormalWeb"/>
        <w:numPr>
          <w:ilvl w:val="2"/>
          <w:numId w:val="1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>Section 102113 – Plastic-Laminate-Clad Toilet Compartments.</w:t>
      </w:r>
      <w:r w:rsidRPr="00DE6810">
        <w:rPr>
          <w:rFonts w:ascii="VistaSlabOT" w:hAnsi="VistaSlabOT"/>
          <w:sz w:val="20"/>
          <w:szCs w:val="20"/>
        </w:rPr>
        <w:t xml:space="preserve"> </w:t>
      </w:r>
    </w:p>
    <w:p w14:paraId="3C1670B6" w14:textId="77777777" w:rsidR="00DE6810" w:rsidRDefault="00DE6810" w:rsidP="00DE6810">
      <w:pPr>
        <w:pStyle w:val="NormalWeb"/>
        <w:numPr>
          <w:ilvl w:val="2"/>
          <w:numId w:val="1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Section 105123 – Plastic-Laminate-Clad Lockers. </w:t>
      </w:r>
    </w:p>
    <w:p w14:paraId="43EECCA9" w14:textId="77777777" w:rsidR="00DE6810" w:rsidRDefault="00DE6810" w:rsidP="00DE6810">
      <w:pPr>
        <w:pStyle w:val="NormalWeb"/>
        <w:numPr>
          <w:ilvl w:val="2"/>
          <w:numId w:val="1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Section 123216 – Manufactured Plastic-Laminate-Faced Casework. </w:t>
      </w:r>
    </w:p>
    <w:p w14:paraId="3B2E415E" w14:textId="77777777" w:rsidR="00DE6810" w:rsidRDefault="00DE6810" w:rsidP="00DE6810">
      <w:pPr>
        <w:pStyle w:val="NormalWeb"/>
        <w:numPr>
          <w:ilvl w:val="2"/>
          <w:numId w:val="1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Section 123553 – Plastic-Laminate-Clad Laboratory Casework. </w:t>
      </w:r>
    </w:p>
    <w:p w14:paraId="788E820B" w14:textId="77777777" w:rsidR="00DE6810" w:rsidRDefault="00DE6810" w:rsidP="00DE6810">
      <w:pPr>
        <w:pStyle w:val="NormalWeb"/>
        <w:numPr>
          <w:ilvl w:val="2"/>
          <w:numId w:val="1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Section 123623 – Plastic-Laminate-Clad Countertops. </w:t>
      </w:r>
    </w:p>
    <w:p w14:paraId="0E1FEA78" w14:textId="77777777" w:rsidR="00DE6810" w:rsidRDefault="00DE6810" w:rsidP="00DE6810">
      <w:pPr>
        <w:pStyle w:val="NormalWeb"/>
        <w:numPr>
          <w:ilvl w:val="0"/>
          <w:numId w:val="1"/>
        </w:numPr>
      </w:pPr>
      <w:proofErr w:type="gramStart"/>
      <w:r>
        <w:rPr>
          <w:rFonts w:ascii="VistaSlabOT" w:hAnsi="VistaSlabOT"/>
          <w:sz w:val="20"/>
          <w:szCs w:val="20"/>
        </w:rPr>
        <w:t>1.2  SUBMITTALS</w:t>
      </w:r>
      <w:proofErr w:type="gramEnd"/>
      <w:r>
        <w:rPr>
          <w:rFonts w:ascii="VistaSlabOT" w:hAnsi="VistaSlabOT"/>
          <w:sz w:val="20"/>
          <w:szCs w:val="20"/>
        </w:rPr>
        <w:t xml:space="preserve"> </w:t>
      </w:r>
    </w:p>
    <w:p w14:paraId="7972A47A" w14:textId="77777777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 xml:space="preserve">A. Product Data: Submit manufacturer’s literature including product characteristics, accessories and limitations. </w:t>
      </w:r>
    </w:p>
    <w:p w14:paraId="3E1CE6F0" w14:textId="77777777" w:rsidR="00DE6810" w:rsidRDefault="00DE6810" w:rsidP="00DE6810">
      <w:pPr>
        <w:pStyle w:val="NormalWeb"/>
        <w:numPr>
          <w:ilvl w:val="0"/>
          <w:numId w:val="2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Selection Samples: Submit samples of colors and finishes if requested by Architect. </w:t>
      </w:r>
    </w:p>
    <w:p w14:paraId="75D46086" w14:textId="77777777" w:rsidR="00DE6810" w:rsidRDefault="00DE6810" w:rsidP="00DE6810">
      <w:pPr>
        <w:pStyle w:val="NormalWeb"/>
        <w:numPr>
          <w:ilvl w:val="0"/>
          <w:numId w:val="2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Verification Samples: Submit samples of selected materials specified to verify color and finish. </w:t>
      </w:r>
    </w:p>
    <w:p w14:paraId="6F87DEA0" w14:textId="77777777" w:rsidR="00DE6810" w:rsidRDefault="00DE6810" w:rsidP="00DE6810">
      <w:pPr>
        <w:pStyle w:val="NormalWeb"/>
        <w:numPr>
          <w:ilvl w:val="0"/>
          <w:numId w:val="2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Industry Certifications and Standards: Submit copy of documentation indicating compliance. </w:t>
      </w:r>
    </w:p>
    <w:p w14:paraId="4A749A55" w14:textId="77777777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>1.3 QUALITYASSURANCE</w:t>
      </w:r>
      <w:r>
        <w:rPr>
          <w:rFonts w:ascii="VistaSlabOT" w:hAnsi="VistaSlabOT"/>
          <w:sz w:val="20"/>
          <w:szCs w:val="20"/>
        </w:rPr>
        <w:br/>
        <w:t xml:space="preserve">A. Manufacturer: Minimum of 5 years experience manufacturing similar products. </w:t>
      </w:r>
    </w:p>
    <w:p w14:paraId="7651929B" w14:textId="77777777" w:rsidR="00DE6810" w:rsidRP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>1.4 DELIVERY, STORAGE AND HANDLING</w:t>
      </w:r>
      <w:r>
        <w:rPr>
          <w:rFonts w:ascii="VistaSlabOT" w:hAnsi="VistaSlabOT"/>
          <w:sz w:val="20"/>
          <w:szCs w:val="20"/>
        </w:rPr>
        <w:br/>
        <w:t xml:space="preserve">A. Deliver materials and products in unopened factory labeled packages. Store and handle in strict compliance with manufacturer’s instructions and recommendations. </w:t>
      </w:r>
    </w:p>
    <w:p w14:paraId="32723B72" w14:textId="77777777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>1.5 WARRANTY</w:t>
      </w:r>
      <w:r>
        <w:rPr>
          <w:rFonts w:ascii="VistaSlabOT" w:hAnsi="VistaSlabOT"/>
          <w:sz w:val="20"/>
          <w:szCs w:val="20"/>
        </w:rPr>
        <w:br/>
        <w:t xml:space="preserve">A. Manufacturer’s Warranty: Provide manufacturer’s standard warranty against defects in manufacturing. </w:t>
      </w:r>
    </w:p>
    <w:p w14:paraId="635F570F" w14:textId="77777777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 xml:space="preserve">PART 2 - PRODUCTS </w:t>
      </w:r>
    </w:p>
    <w:p w14:paraId="5B9BC1B3" w14:textId="77777777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 xml:space="preserve">2.1 HIGH PRESSURE LAMINATES </w:t>
      </w:r>
    </w:p>
    <w:p w14:paraId="6E122EE9" w14:textId="77777777" w:rsidR="007C78DA" w:rsidRDefault="00DE6810" w:rsidP="00DE6810">
      <w:pPr>
        <w:pStyle w:val="NormalWeb"/>
        <w:rPr>
          <w:rFonts w:ascii="VistaSansOT" w:hAnsi="VistaSansOT"/>
          <w:color w:val="000000" w:themeColor="text1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A. Manufacturer: </w:t>
      </w:r>
      <w:r w:rsidRPr="00DE6810">
        <w:rPr>
          <w:rFonts w:ascii="VistaSansOT" w:hAnsi="VistaSansOT"/>
          <w:color w:val="000000" w:themeColor="text1"/>
          <w:sz w:val="20"/>
          <w:szCs w:val="20"/>
        </w:rPr>
        <w:t>Carbon Zero HPL LLC, 2825 Commerce Parkway, North Port, FL 34289.  Tel: 844-307-9571</w:t>
      </w:r>
      <w:r w:rsidR="007C78DA">
        <w:rPr>
          <w:rFonts w:ascii="VistaSansOT" w:hAnsi="VistaSansOT"/>
          <w:color w:val="000000" w:themeColor="text1"/>
          <w:sz w:val="20"/>
          <w:szCs w:val="20"/>
        </w:rPr>
        <w:t xml:space="preserve">. Contact: Anita </w:t>
      </w:r>
      <w:proofErr w:type="spellStart"/>
      <w:r w:rsidR="007C78DA">
        <w:rPr>
          <w:rFonts w:ascii="VistaSansOT" w:hAnsi="VistaSansOT"/>
          <w:color w:val="000000" w:themeColor="text1"/>
          <w:sz w:val="20"/>
          <w:szCs w:val="20"/>
        </w:rPr>
        <w:t>Hlister</w:t>
      </w:r>
      <w:proofErr w:type="spellEnd"/>
      <w:r w:rsidR="007C78DA">
        <w:rPr>
          <w:rFonts w:ascii="VistaSansOT" w:hAnsi="VistaSansOT"/>
          <w:color w:val="000000" w:themeColor="text1"/>
          <w:sz w:val="20"/>
          <w:szCs w:val="20"/>
        </w:rPr>
        <w:t xml:space="preserve"> 813-802-8211</w:t>
      </w:r>
      <w:bookmarkStart w:id="0" w:name="_GoBack"/>
      <w:bookmarkEnd w:id="0"/>
      <w:r w:rsidR="007C78DA">
        <w:rPr>
          <w:rFonts w:ascii="VistaSansOT" w:hAnsi="VistaSansOT"/>
          <w:color w:val="000000" w:themeColor="text1"/>
          <w:sz w:val="20"/>
          <w:szCs w:val="20"/>
        </w:rPr>
        <w:t>.</w:t>
      </w:r>
    </w:p>
    <w:p w14:paraId="0162D569" w14:textId="43007168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 xml:space="preserve">Panels shall comply with the following: </w:t>
      </w:r>
    </w:p>
    <w:p w14:paraId="47A1C767" w14:textId="77777777" w:rsidR="00DE6810" w:rsidRDefault="00DE6810" w:rsidP="00DE6810">
      <w:pPr>
        <w:pStyle w:val="NormalWeb"/>
        <w:numPr>
          <w:ilvl w:val="0"/>
          <w:numId w:val="3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General Purpose Grade: HGS complying with NEMA LD3. </w:t>
      </w:r>
    </w:p>
    <w:p w14:paraId="246BA558" w14:textId="77777777" w:rsidR="00DE6810" w:rsidRDefault="00DE6810" w:rsidP="00DE6810">
      <w:pPr>
        <w:pStyle w:val="NormalWeb"/>
        <w:numPr>
          <w:ilvl w:val="0"/>
          <w:numId w:val="3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Horizontal Grade: HGL complying with NEMA LD3. </w:t>
      </w:r>
    </w:p>
    <w:p w14:paraId="50B2E7A0" w14:textId="77777777" w:rsidR="00DE6810" w:rsidRDefault="00DE6810" w:rsidP="00DE6810">
      <w:pPr>
        <w:pStyle w:val="NormalWeb"/>
        <w:numPr>
          <w:ilvl w:val="0"/>
          <w:numId w:val="3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Horizontal Forming Grade: HGP complying with NEMA LD3. </w:t>
      </w:r>
    </w:p>
    <w:p w14:paraId="7A6CC9FA" w14:textId="77777777" w:rsidR="00DE6810" w:rsidRDefault="00DE6810" w:rsidP="00DE6810">
      <w:pPr>
        <w:pStyle w:val="NormalWeb"/>
        <w:numPr>
          <w:ilvl w:val="0"/>
          <w:numId w:val="3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Vertical Forming Grade: VGP complying with NEMA LD3. </w:t>
      </w:r>
    </w:p>
    <w:p w14:paraId="3A8D6864" w14:textId="77777777" w:rsidR="00DE6810" w:rsidRDefault="00DE6810" w:rsidP="00DE6810">
      <w:pPr>
        <w:pStyle w:val="NormalWeb"/>
        <w:numPr>
          <w:ilvl w:val="0"/>
          <w:numId w:val="3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>Compact Grade: Complying with NEMA LD3</w:t>
      </w:r>
    </w:p>
    <w:p w14:paraId="5DEAA5CF" w14:textId="77777777" w:rsidR="00DE6810" w:rsidRDefault="00DE6810" w:rsidP="00DE6810">
      <w:pPr>
        <w:pStyle w:val="NormalWeb"/>
        <w:numPr>
          <w:ilvl w:val="0"/>
          <w:numId w:val="3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Sheet Thickness: As selected from manufacturer’s standard thicknesses. </w:t>
      </w:r>
    </w:p>
    <w:p w14:paraId="0DE7DC1B" w14:textId="77777777" w:rsidR="00DE6810" w:rsidRDefault="00DE6810" w:rsidP="00DE6810">
      <w:pPr>
        <w:pStyle w:val="NormalWeb"/>
        <w:ind w:left="720"/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HGS 0.048 (1.2 mm); HGL 0.039 inches (1.0 mm); HGP 0.039 inches (1.0 mm); </w:t>
      </w:r>
    </w:p>
    <w:p w14:paraId="12F3AC7C" w14:textId="77777777" w:rsidR="00DE6810" w:rsidRDefault="00DE6810" w:rsidP="00DE6810">
      <w:pPr>
        <w:pStyle w:val="NormalWeb"/>
        <w:ind w:left="720"/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lastRenderedPageBreak/>
        <w:t xml:space="preserve">VGP 0.028 inches (0.7 mm). </w:t>
      </w:r>
    </w:p>
    <w:p w14:paraId="292CDF20" w14:textId="77777777" w:rsidR="00DE6810" w:rsidRDefault="00DE6810" w:rsidP="00DE6810">
      <w:pPr>
        <w:pStyle w:val="NormalWeb"/>
        <w:ind w:left="720"/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Compact </w:t>
      </w:r>
      <w:proofErr w:type="gramStart"/>
      <w:r>
        <w:rPr>
          <w:rFonts w:ascii="VistaSlabOT" w:hAnsi="VistaSlabOT"/>
          <w:sz w:val="20"/>
          <w:szCs w:val="20"/>
        </w:rPr>
        <w:t xml:space="preserve">Grade  </w:t>
      </w:r>
      <w:r>
        <w:rPr>
          <w:rFonts w:ascii="VistaSlabOT" w:hAnsi="VistaSlabOT" w:hint="eastAsia"/>
          <w:sz w:val="20"/>
          <w:szCs w:val="20"/>
        </w:rPr>
        <w:t>½</w:t>
      </w:r>
      <w:proofErr w:type="gramEnd"/>
      <w:r>
        <w:rPr>
          <w:rFonts w:ascii="VistaSlabOT" w:hAnsi="VistaSlabOT" w:hint="eastAsia"/>
          <w:sz w:val="20"/>
          <w:szCs w:val="20"/>
        </w:rPr>
        <w:t>”</w:t>
      </w:r>
      <w:r>
        <w:rPr>
          <w:rFonts w:ascii="VistaSlabOT" w:hAnsi="VistaSlabOT"/>
          <w:sz w:val="20"/>
          <w:szCs w:val="20"/>
        </w:rPr>
        <w:t xml:space="preserve"> (12mm); </w:t>
      </w:r>
      <w:r>
        <w:rPr>
          <w:rFonts w:ascii="VistaSlabOT" w:hAnsi="VistaSlabOT" w:hint="eastAsia"/>
          <w:sz w:val="20"/>
          <w:szCs w:val="20"/>
        </w:rPr>
        <w:t>¾”</w:t>
      </w:r>
      <w:r>
        <w:rPr>
          <w:rFonts w:ascii="VistaSlabOT" w:hAnsi="VistaSlabOT"/>
          <w:sz w:val="20"/>
          <w:szCs w:val="20"/>
        </w:rPr>
        <w:t>(18mm)</w:t>
      </w:r>
    </w:p>
    <w:p w14:paraId="39788C71" w14:textId="77777777" w:rsidR="00DE6810" w:rsidRPr="00DE6810" w:rsidRDefault="00DE6810" w:rsidP="00DE6810">
      <w:pPr>
        <w:pStyle w:val="NormalWeb"/>
        <w:numPr>
          <w:ilvl w:val="0"/>
          <w:numId w:val="3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Sheet Width: As selected from manufacturer’s standard widths </w:t>
      </w:r>
      <w:proofErr w:type="gramStart"/>
      <w:r>
        <w:rPr>
          <w:rFonts w:ascii="VistaSlabOT" w:hAnsi="VistaSlabOT"/>
          <w:sz w:val="20"/>
          <w:szCs w:val="20"/>
        </w:rPr>
        <w:t xml:space="preserve">of </w:t>
      </w:r>
      <w:r w:rsidRPr="00DE6810">
        <w:rPr>
          <w:rFonts w:ascii="VistaSlabOT" w:hAnsi="VistaSlabOT"/>
          <w:sz w:val="20"/>
          <w:szCs w:val="20"/>
        </w:rPr>
        <w:t xml:space="preserve"> 48</w:t>
      </w:r>
      <w:proofErr w:type="gramEnd"/>
      <w:r w:rsidRPr="00DE6810">
        <w:rPr>
          <w:rFonts w:ascii="VistaSlabOT" w:hAnsi="VistaSlabOT"/>
          <w:sz w:val="20"/>
          <w:szCs w:val="20"/>
        </w:rPr>
        <w:t xml:space="preserve"> inches (1219 mm), and 60 inches (1524 mm). </w:t>
      </w:r>
    </w:p>
    <w:p w14:paraId="60B09F45" w14:textId="77777777" w:rsidR="00DE6810" w:rsidRPr="00DE6810" w:rsidRDefault="00DE6810" w:rsidP="00DE6810">
      <w:pPr>
        <w:pStyle w:val="NormalWeb"/>
        <w:numPr>
          <w:ilvl w:val="0"/>
          <w:numId w:val="3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Sheet Length: As selected from manufacturer’s standard lengths of 96 inches (2438 mm), </w:t>
      </w:r>
      <w:r w:rsidRPr="00DE6810">
        <w:rPr>
          <w:rFonts w:ascii="VistaSlabOT" w:hAnsi="VistaSlabOT"/>
          <w:sz w:val="20"/>
          <w:szCs w:val="20"/>
        </w:rPr>
        <w:t xml:space="preserve">120 inches (3048 mm) and 144 inches (3658 mm). </w:t>
      </w:r>
    </w:p>
    <w:p w14:paraId="72DAFA32" w14:textId="77777777" w:rsidR="00DE6810" w:rsidRDefault="00DE6810" w:rsidP="00DE6810">
      <w:pPr>
        <w:pStyle w:val="NormalWeb"/>
        <w:numPr>
          <w:ilvl w:val="0"/>
          <w:numId w:val="3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Color and Texture: As selected by Architect from manufacturer’s full range. </w:t>
      </w:r>
    </w:p>
    <w:p w14:paraId="55BD5217" w14:textId="77777777" w:rsidR="00DE6810" w:rsidRDefault="00DE6810" w:rsidP="00DE6810">
      <w:pPr>
        <w:pStyle w:val="NormalWeb"/>
        <w:numPr>
          <w:ilvl w:val="0"/>
          <w:numId w:val="3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Adhesive: Types as recommended by manufacturer. </w:t>
      </w:r>
    </w:p>
    <w:p w14:paraId="5B0314FF" w14:textId="77777777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 xml:space="preserve">PART 3 - EXECUTION 3.1 EXAMINATION </w:t>
      </w:r>
    </w:p>
    <w:p w14:paraId="20494FE8" w14:textId="77777777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 xml:space="preserve">A. Examine substrates for compliance with requirements for installation tolerances and other conditions affecting performance. Proceed with installation only after unsatisfactory conditions have been corrected. </w:t>
      </w:r>
    </w:p>
    <w:p w14:paraId="378B45E2" w14:textId="77777777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 xml:space="preserve">3.2 INSTALLATION </w:t>
      </w:r>
    </w:p>
    <w:p w14:paraId="7504B754" w14:textId="77777777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 xml:space="preserve">A. Install products in strict accordance with manufacturer’s instructions and approved submittals. </w:t>
      </w:r>
    </w:p>
    <w:p w14:paraId="50FA159D" w14:textId="77777777" w:rsidR="00DE6810" w:rsidRDefault="00DE6810" w:rsidP="00DE6810">
      <w:pPr>
        <w:pStyle w:val="NormalWeb"/>
        <w:numPr>
          <w:ilvl w:val="0"/>
          <w:numId w:val="4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Clean substrate of dirt, dust, waxes, and other bond breaking substances prior to </w:t>
      </w:r>
    </w:p>
    <w:p w14:paraId="251C0ADE" w14:textId="77777777" w:rsidR="00DE6810" w:rsidRDefault="00DE6810" w:rsidP="00DE6810">
      <w:pPr>
        <w:pStyle w:val="NormalWeb"/>
        <w:ind w:left="720"/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beginning installation. </w:t>
      </w:r>
    </w:p>
    <w:p w14:paraId="3FD9B087" w14:textId="77777777" w:rsidR="00DE6810" w:rsidRDefault="00DE6810" w:rsidP="00DE6810">
      <w:pPr>
        <w:pStyle w:val="NormalWeb"/>
        <w:numPr>
          <w:ilvl w:val="0"/>
          <w:numId w:val="4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Follow adhesive manufacturer’s recommendations for set and application times. </w:t>
      </w:r>
    </w:p>
    <w:p w14:paraId="1D5608A1" w14:textId="77777777" w:rsidR="00DE6810" w:rsidRDefault="00DE6810" w:rsidP="00DE6810">
      <w:pPr>
        <w:pStyle w:val="NormalWeb"/>
        <w:numPr>
          <w:ilvl w:val="0"/>
          <w:numId w:val="4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Apply pressure to entire panel face with laminate type roller, removing trapped air and ensure </w:t>
      </w:r>
    </w:p>
    <w:p w14:paraId="0895DD50" w14:textId="77777777" w:rsidR="00DE6810" w:rsidRDefault="00DE6810" w:rsidP="00DE6810">
      <w:pPr>
        <w:pStyle w:val="NormalWeb"/>
        <w:ind w:left="720"/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proper adhesion between surfaces. </w:t>
      </w:r>
    </w:p>
    <w:p w14:paraId="7857EAD9" w14:textId="77777777" w:rsidR="00DE6810" w:rsidRDefault="00DE6810" w:rsidP="00DE6810">
      <w:pPr>
        <w:pStyle w:val="NormalWeb"/>
      </w:pPr>
      <w:r>
        <w:rPr>
          <w:rFonts w:ascii="VistaSlabOT" w:hAnsi="VistaSlabOT"/>
          <w:sz w:val="20"/>
          <w:szCs w:val="20"/>
        </w:rPr>
        <w:t xml:space="preserve">3.3 ADJUSTING AND CLEANING </w:t>
      </w:r>
    </w:p>
    <w:p w14:paraId="5FD98E27" w14:textId="77777777" w:rsidR="00DE6810" w:rsidRDefault="00DE6810" w:rsidP="00DE6810">
      <w:pPr>
        <w:pStyle w:val="NormalWeb"/>
        <w:numPr>
          <w:ilvl w:val="0"/>
          <w:numId w:val="5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Replace installations out of plumb and not aligned with adjacent panels and construction. </w:t>
      </w:r>
    </w:p>
    <w:p w14:paraId="382F49CE" w14:textId="77777777" w:rsidR="00DE6810" w:rsidRDefault="00DE6810" w:rsidP="00DE6810">
      <w:pPr>
        <w:pStyle w:val="NormalWeb"/>
        <w:numPr>
          <w:ilvl w:val="0"/>
          <w:numId w:val="5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Clean panel face to remove soiling, stains, dust, and dirt using clean rags, and cleaning agents as instructed by manufacturer. </w:t>
      </w:r>
    </w:p>
    <w:p w14:paraId="092F434C" w14:textId="77777777" w:rsidR="00DE6810" w:rsidRDefault="00DE6810" w:rsidP="00DE6810">
      <w:pPr>
        <w:pStyle w:val="NormalWeb"/>
        <w:numPr>
          <w:ilvl w:val="0"/>
          <w:numId w:val="5"/>
        </w:numPr>
        <w:rPr>
          <w:rFonts w:ascii="VistaSlabOT" w:hAnsi="VistaSlabOT"/>
          <w:sz w:val="20"/>
          <w:szCs w:val="20"/>
        </w:rPr>
      </w:pPr>
      <w:r>
        <w:rPr>
          <w:rFonts w:ascii="VistaSlabOT" w:hAnsi="VistaSlabOT"/>
          <w:sz w:val="20"/>
          <w:szCs w:val="20"/>
        </w:rPr>
        <w:t xml:space="preserve">Leave installation clean, free of residue and debris resulting from work of this Section. </w:t>
      </w:r>
    </w:p>
    <w:p w14:paraId="75357DD1" w14:textId="77777777" w:rsidR="00146E61" w:rsidRDefault="00EE583C"/>
    <w:sectPr w:rsidR="00146E61" w:rsidSect="00C97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staSlabOT">
    <w:altName w:val="Times New Roman"/>
    <w:panose1 w:val="020B0604020202020204"/>
    <w:charset w:val="00"/>
    <w:family w:val="roman"/>
    <w:notTrueType/>
    <w:pitch w:val="default"/>
  </w:font>
  <w:font w:name="VistaSansO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21FC8"/>
    <w:multiLevelType w:val="multilevel"/>
    <w:tmpl w:val="CE84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830FD"/>
    <w:multiLevelType w:val="multilevel"/>
    <w:tmpl w:val="0FAE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70531"/>
    <w:multiLevelType w:val="multilevel"/>
    <w:tmpl w:val="9384A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D117E"/>
    <w:multiLevelType w:val="multilevel"/>
    <w:tmpl w:val="82D0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8C5B0C"/>
    <w:multiLevelType w:val="multilevel"/>
    <w:tmpl w:val="2E44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10"/>
    <w:rsid w:val="00047B15"/>
    <w:rsid w:val="007C78DA"/>
    <w:rsid w:val="00C9770C"/>
    <w:rsid w:val="00DE6810"/>
    <w:rsid w:val="00E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F85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1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508</Words>
  <Characters>3170</Characters>
  <Application>Microsoft Office Word</Application>
  <DocSecurity>0</DocSecurity>
  <Lines>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Carbon Zero HPL LLC</Company>
  <LinksUpToDate>false</LinksUpToDate>
  <CharactersWithSpaces>3685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CSI 3 Part Spec</dc:subject>
  <dc:creator>Paul  West</dc:creator>
  <cp:keywords/>
  <dc:description/>
  <cp:lastModifiedBy>Paul  West</cp:lastModifiedBy>
  <cp:revision>3</cp:revision>
  <cp:lastPrinted>2017-09-18T13:36:00Z</cp:lastPrinted>
  <dcterms:created xsi:type="dcterms:W3CDTF">2017-09-18T12:58:00Z</dcterms:created>
  <dcterms:modified xsi:type="dcterms:W3CDTF">2018-09-09T12:53:00Z</dcterms:modified>
  <cp:category/>
</cp:coreProperties>
</file>